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F3" w:rsidRPr="00BB771A" w:rsidRDefault="00D731F3" w:rsidP="00D731F3">
      <w:pPr>
        <w:rPr>
          <w:b/>
          <w:u w:val="single"/>
        </w:rPr>
      </w:pPr>
      <w:r>
        <w:rPr>
          <w:b/>
          <w:u w:val="single"/>
        </w:rPr>
        <w:t>ETUDE DE CAS FRUTIS</w:t>
      </w:r>
    </w:p>
    <w:p w:rsidR="00D731F3" w:rsidRPr="00BB771A" w:rsidRDefault="00D731F3" w:rsidP="00D731F3">
      <w:pPr>
        <w:pStyle w:val="Default"/>
        <w:rPr>
          <w:rFonts w:ascii="Arial Narrow" w:hAnsi="Arial Narrow"/>
          <w:sz w:val="22"/>
          <w:szCs w:val="22"/>
          <w:u w:val="single"/>
        </w:rPr>
      </w:pPr>
    </w:p>
    <w:p w:rsidR="00D731F3" w:rsidRPr="00BB771A" w:rsidRDefault="00D731F3" w:rsidP="00D731F3">
      <w:pPr>
        <w:pStyle w:val="Default"/>
        <w:jc w:val="both"/>
        <w:rPr>
          <w:rFonts w:ascii="Arial Narrow" w:hAnsi="Arial Narrow"/>
          <w:sz w:val="22"/>
          <w:szCs w:val="22"/>
        </w:rPr>
      </w:pPr>
      <w:r w:rsidRPr="00BB771A">
        <w:rPr>
          <w:rFonts w:ascii="Arial Narrow" w:hAnsi="Arial Narrow"/>
          <w:sz w:val="22"/>
          <w:szCs w:val="22"/>
        </w:rPr>
        <w:t xml:space="preserve"> FRUTIS a développé une division de légumes en semi-conserve. Après avoir été triés, calibrés, épluchés, coupés et lavés, les légumes sont cuits, mis en sachets plastiques sous vide puis conditionnés en barquettes plastiques. Les ventes de ces produits ne sont pas régulières tout au long de l'année et le directeur commercial souhaite étudier la structure des ventes à la lumière des statistiques disponibles données en annexe afin d'établir une prévision pour l'exercice N +3. </w:t>
      </w:r>
    </w:p>
    <w:p w:rsidR="00D731F3" w:rsidRPr="00BB771A" w:rsidRDefault="00D731F3" w:rsidP="00D731F3">
      <w:pPr>
        <w:pStyle w:val="Default"/>
        <w:jc w:val="both"/>
        <w:rPr>
          <w:rFonts w:ascii="Arial Narrow" w:hAnsi="Arial Narrow"/>
          <w:sz w:val="22"/>
          <w:szCs w:val="22"/>
        </w:rPr>
      </w:pPr>
    </w:p>
    <w:p w:rsidR="00D731F3" w:rsidRPr="00BB771A" w:rsidRDefault="00D731F3" w:rsidP="00D731F3">
      <w:pPr>
        <w:pStyle w:val="Default"/>
        <w:jc w:val="both"/>
        <w:rPr>
          <w:rFonts w:ascii="Arial Narrow" w:hAnsi="Arial Narrow"/>
          <w:sz w:val="22"/>
          <w:szCs w:val="22"/>
        </w:rPr>
      </w:pPr>
      <w:r w:rsidRPr="00BB771A">
        <w:rPr>
          <w:rFonts w:ascii="Arial Narrow" w:hAnsi="Arial Narrow"/>
          <w:b/>
          <w:bCs/>
          <w:sz w:val="22"/>
          <w:szCs w:val="22"/>
          <w:u w:val="single"/>
        </w:rPr>
        <w:t xml:space="preserve">Questions </w:t>
      </w:r>
    </w:p>
    <w:p w:rsidR="00D731F3" w:rsidRPr="00BB771A" w:rsidRDefault="00D731F3" w:rsidP="00D731F3">
      <w:pPr>
        <w:pStyle w:val="Default"/>
        <w:ind w:left="720"/>
        <w:jc w:val="both"/>
        <w:rPr>
          <w:rFonts w:ascii="Arial Narrow" w:hAnsi="Arial Narrow"/>
          <w:b/>
          <w:bCs/>
          <w:i/>
          <w:iCs/>
          <w:sz w:val="22"/>
          <w:szCs w:val="22"/>
        </w:rPr>
      </w:pP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Trouver l'équation de la droite d'ajustement de la série chronologique, en utilisant la méthode des moindres carrés.</w:t>
      </w: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Calculer les coefficients saison</w:t>
      </w:r>
      <w:r>
        <w:rPr>
          <w:rFonts w:ascii="Arial Narrow" w:hAnsi="Arial Narrow"/>
          <w:b/>
          <w:bCs/>
          <w:i/>
          <w:iCs/>
          <w:sz w:val="22"/>
          <w:szCs w:val="22"/>
        </w:rPr>
        <w:t xml:space="preserve">niers trimestriels de ventes </w:t>
      </w:r>
    </w:p>
    <w:p w:rsidR="00D731F3" w:rsidRPr="00BB771A" w:rsidRDefault="00D731F3" w:rsidP="00D731F3">
      <w:pPr>
        <w:pStyle w:val="Default"/>
        <w:ind w:left="720"/>
        <w:jc w:val="both"/>
        <w:rPr>
          <w:rFonts w:ascii="Arial Narrow" w:hAnsi="Arial Narrow"/>
          <w:sz w:val="22"/>
          <w:szCs w:val="22"/>
        </w:rPr>
      </w:pP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Donner une prévision trimestrielle des ventes pour l'année N+ 3</w:t>
      </w:r>
    </w:p>
    <w:p w:rsidR="00D731F3" w:rsidRPr="00BB771A" w:rsidRDefault="00D731F3" w:rsidP="00D731F3">
      <w:pPr>
        <w:pStyle w:val="Default"/>
        <w:ind w:left="426"/>
        <w:jc w:val="both"/>
        <w:rPr>
          <w:rFonts w:ascii="Arial Narrow" w:hAnsi="Arial Narrow"/>
          <w:b/>
          <w:bCs/>
          <w:i/>
          <w:iCs/>
          <w:sz w:val="22"/>
          <w:szCs w:val="22"/>
        </w:rPr>
      </w:pP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Sachant que le contrôleur de gestion de cette société a établi une clé de répartition mensuelle de la façon suivante :</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 le premier mois de trimestre 30%</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 le deuxième mois 40%</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 le troisième mois 30%</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Et de plus le prix unitaire de vente est constant pendant toute la période : 12 DH</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Etablir le budget des ventes mensuel sachant que le taux de TVA est de 20%.</w:t>
      </w:r>
    </w:p>
    <w:p w:rsidR="00D731F3" w:rsidRPr="00BB771A" w:rsidRDefault="00D731F3" w:rsidP="00D731F3">
      <w:pPr>
        <w:pStyle w:val="Default"/>
        <w:ind w:left="720"/>
        <w:jc w:val="both"/>
        <w:rPr>
          <w:rFonts w:ascii="Arial Narrow" w:hAnsi="Arial Narrow"/>
          <w:b/>
          <w:bCs/>
          <w:i/>
          <w:iCs/>
          <w:sz w:val="22"/>
          <w:szCs w:val="22"/>
        </w:rPr>
      </w:pP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Etablir le budget des encaissements de cette entreprise  sachant que les ventes sont encaissées à 40% le mois même de la vente et le reste le mois suivant la vente.</w:t>
      </w:r>
    </w:p>
    <w:p w:rsidR="00D731F3" w:rsidRPr="00BB771A" w:rsidRDefault="00D731F3" w:rsidP="00D731F3">
      <w:pPr>
        <w:pStyle w:val="Default"/>
        <w:ind w:left="720"/>
        <w:jc w:val="both"/>
        <w:rPr>
          <w:rFonts w:ascii="Arial Narrow" w:hAnsi="Arial Narrow"/>
          <w:b/>
          <w:bCs/>
          <w:i/>
          <w:iCs/>
          <w:sz w:val="22"/>
          <w:szCs w:val="22"/>
        </w:rPr>
      </w:pPr>
    </w:p>
    <w:p w:rsidR="00D731F3" w:rsidRPr="00BB771A" w:rsidRDefault="00D731F3" w:rsidP="00D731F3">
      <w:pPr>
        <w:pStyle w:val="Default"/>
        <w:numPr>
          <w:ilvl w:val="0"/>
          <w:numId w:val="1"/>
        </w:numPr>
        <w:jc w:val="both"/>
        <w:rPr>
          <w:rFonts w:ascii="Arial Narrow" w:hAnsi="Arial Narrow"/>
          <w:b/>
          <w:bCs/>
          <w:i/>
          <w:iCs/>
          <w:sz w:val="22"/>
          <w:szCs w:val="22"/>
        </w:rPr>
      </w:pPr>
      <w:r w:rsidRPr="00BB771A">
        <w:rPr>
          <w:rFonts w:ascii="Arial Narrow" w:hAnsi="Arial Narrow"/>
          <w:b/>
          <w:bCs/>
          <w:i/>
          <w:iCs/>
          <w:sz w:val="22"/>
          <w:szCs w:val="22"/>
        </w:rPr>
        <w:t>Etablir le budget de trésorerie sachant que la trésorerie initiale en janvier N+3 est de 170</w:t>
      </w: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Et le budget  prévu des décaissements  mensuel se présente comme suit :</w:t>
      </w:r>
    </w:p>
    <w:p w:rsidR="00D731F3" w:rsidRPr="00BB771A" w:rsidRDefault="00D731F3" w:rsidP="00D731F3">
      <w:pPr>
        <w:pStyle w:val="Default"/>
        <w:ind w:left="720"/>
        <w:jc w:val="both"/>
        <w:rPr>
          <w:rFonts w:ascii="Arial Narrow" w:hAnsi="Arial Narrow"/>
          <w:b/>
          <w:bCs/>
          <w:i/>
          <w:iCs/>
          <w:sz w:val="22"/>
          <w:szCs w:val="22"/>
        </w:rPr>
      </w:pPr>
    </w:p>
    <w:p w:rsidR="00D731F3" w:rsidRPr="00BB771A" w:rsidRDefault="00D731F3" w:rsidP="00D731F3">
      <w:pPr>
        <w:pStyle w:val="Default"/>
        <w:ind w:left="720"/>
        <w:jc w:val="both"/>
        <w:rPr>
          <w:rFonts w:ascii="Arial Narrow" w:hAnsi="Arial Narrow"/>
          <w:b/>
          <w:bCs/>
          <w:i/>
          <w:iCs/>
          <w:sz w:val="22"/>
          <w:szCs w:val="22"/>
        </w:rPr>
      </w:pPr>
      <w:r w:rsidRPr="00BB771A">
        <w:rPr>
          <w:rFonts w:ascii="Arial Narrow" w:hAnsi="Arial Narrow"/>
          <w:b/>
          <w:bCs/>
          <w:i/>
          <w:iCs/>
          <w:sz w:val="22"/>
          <w:szCs w:val="22"/>
        </w:rPr>
        <w:t>(Valeurs en milliers de DH)</w:t>
      </w:r>
    </w:p>
    <w:tbl>
      <w:tblPr>
        <w:tblStyle w:val="Grilledutableau"/>
        <w:tblW w:w="11275" w:type="dxa"/>
        <w:tblInd w:w="-1168" w:type="dxa"/>
        <w:tblLayout w:type="fixed"/>
        <w:tblLook w:val="04A0"/>
      </w:tblPr>
      <w:tblGrid>
        <w:gridCol w:w="1702"/>
        <w:gridCol w:w="708"/>
        <w:gridCol w:w="709"/>
        <w:gridCol w:w="851"/>
        <w:gridCol w:w="850"/>
        <w:gridCol w:w="709"/>
        <w:gridCol w:w="850"/>
        <w:gridCol w:w="709"/>
        <w:gridCol w:w="709"/>
        <w:gridCol w:w="709"/>
        <w:gridCol w:w="840"/>
        <w:gridCol w:w="709"/>
        <w:gridCol w:w="1220"/>
      </w:tblGrid>
      <w:tr w:rsidR="00D731F3" w:rsidRPr="00BB771A" w:rsidTr="008952B1">
        <w:tc>
          <w:tcPr>
            <w:tcW w:w="1702"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mois</w:t>
            </w:r>
          </w:p>
        </w:tc>
        <w:tc>
          <w:tcPr>
            <w:tcW w:w="708"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J</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F</w:t>
            </w:r>
          </w:p>
        </w:tc>
        <w:tc>
          <w:tcPr>
            <w:tcW w:w="851"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M</w:t>
            </w:r>
          </w:p>
        </w:tc>
        <w:tc>
          <w:tcPr>
            <w:tcW w:w="85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A</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MA</w:t>
            </w:r>
          </w:p>
        </w:tc>
        <w:tc>
          <w:tcPr>
            <w:tcW w:w="85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J</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JUIL</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AO</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SEP</w:t>
            </w:r>
          </w:p>
        </w:tc>
        <w:tc>
          <w:tcPr>
            <w:tcW w:w="84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OCT</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NOV</w:t>
            </w:r>
          </w:p>
        </w:tc>
        <w:tc>
          <w:tcPr>
            <w:tcW w:w="122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DEC</w:t>
            </w:r>
          </w:p>
        </w:tc>
      </w:tr>
      <w:tr w:rsidR="00D731F3" w:rsidRPr="00BB771A" w:rsidTr="008952B1">
        <w:tc>
          <w:tcPr>
            <w:tcW w:w="1702"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Décaissements</w:t>
            </w:r>
          </w:p>
        </w:tc>
        <w:tc>
          <w:tcPr>
            <w:tcW w:w="708"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1200</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1346</w:t>
            </w:r>
          </w:p>
        </w:tc>
        <w:tc>
          <w:tcPr>
            <w:tcW w:w="851"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1450</w:t>
            </w:r>
          </w:p>
        </w:tc>
        <w:tc>
          <w:tcPr>
            <w:tcW w:w="85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1440</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2350</w:t>
            </w:r>
          </w:p>
        </w:tc>
        <w:tc>
          <w:tcPr>
            <w:tcW w:w="85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1560</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1790</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1987</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1957</w:t>
            </w:r>
          </w:p>
        </w:tc>
        <w:tc>
          <w:tcPr>
            <w:tcW w:w="84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1867</w:t>
            </w:r>
          </w:p>
        </w:tc>
        <w:tc>
          <w:tcPr>
            <w:tcW w:w="709"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1245</w:t>
            </w:r>
          </w:p>
        </w:tc>
        <w:tc>
          <w:tcPr>
            <w:tcW w:w="1220" w:type="dxa"/>
          </w:tcPr>
          <w:p w:rsidR="00D731F3" w:rsidRPr="00BB771A" w:rsidRDefault="00D731F3" w:rsidP="008952B1">
            <w:pPr>
              <w:pStyle w:val="Default"/>
              <w:jc w:val="both"/>
              <w:rPr>
                <w:rFonts w:ascii="Arial Narrow" w:hAnsi="Arial Narrow"/>
                <w:b/>
                <w:bCs/>
                <w:i/>
                <w:iCs/>
                <w:sz w:val="22"/>
                <w:szCs w:val="22"/>
              </w:rPr>
            </w:pPr>
            <w:r w:rsidRPr="00BB771A">
              <w:rPr>
                <w:rFonts w:ascii="Arial Narrow" w:hAnsi="Arial Narrow"/>
                <w:b/>
                <w:bCs/>
                <w:i/>
                <w:iCs/>
                <w:sz w:val="22"/>
                <w:szCs w:val="22"/>
              </w:rPr>
              <w:t>2368</w:t>
            </w:r>
          </w:p>
        </w:tc>
      </w:tr>
    </w:tbl>
    <w:p w:rsidR="00D731F3" w:rsidRPr="00BB771A" w:rsidRDefault="00D731F3" w:rsidP="00D731F3">
      <w:pPr>
        <w:pStyle w:val="Default"/>
        <w:ind w:left="720" w:hanging="360"/>
        <w:jc w:val="both"/>
        <w:rPr>
          <w:rFonts w:ascii="Arial Narrow" w:hAnsi="Arial Narrow"/>
          <w:sz w:val="22"/>
          <w:szCs w:val="22"/>
        </w:rPr>
      </w:pPr>
    </w:p>
    <w:tbl>
      <w:tblPr>
        <w:tblpPr w:leftFromText="141" w:rightFromText="141" w:vertAnchor="text" w:horzAnchor="margin" w:tblpY="677"/>
        <w:tblW w:w="0" w:type="auto"/>
        <w:tblBorders>
          <w:top w:val="nil"/>
          <w:left w:val="nil"/>
          <w:bottom w:val="nil"/>
          <w:right w:val="nil"/>
        </w:tblBorders>
        <w:tblLayout w:type="fixed"/>
        <w:tblLook w:val="0000"/>
      </w:tblPr>
      <w:tblGrid>
        <w:gridCol w:w="2806"/>
        <w:gridCol w:w="1555"/>
        <w:gridCol w:w="14"/>
        <w:gridCol w:w="1545"/>
        <w:gridCol w:w="24"/>
        <w:gridCol w:w="1535"/>
        <w:gridCol w:w="1701"/>
      </w:tblGrid>
      <w:tr w:rsidR="00D731F3" w:rsidRPr="00BB771A" w:rsidTr="008952B1">
        <w:trPr>
          <w:trHeight w:val="776"/>
        </w:trPr>
        <w:tc>
          <w:tcPr>
            <w:tcW w:w="2806" w:type="dxa"/>
            <w:tcBorders>
              <w:top w:val="single" w:sz="8" w:space="0" w:color="000000"/>
              <w:left w:val="single" w:sz="4" w:space="0" w:color="auto"/>
              <w:bottom w:val="single" w:sz="4" w:space="0" w:color="auto"/>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b/>
                <w:bCs/>
                <w:i/>
                <w:iCs/>
                <w:sz w:val="22"/>
                <w:szCs w:val="22"/>
              </w:rPr>
              <w:t>Statistique des ventes de barquettes de légumes de N à N+2 (en milliers d'unités)</w:t>
            </w:r>
          </w:p>
        </w:tc>
        <w:tc>
          <w:tcPr>
            <w:tcW w:w="1569" w:type="dxa"/>
            <w:gridSpan w:val="2"/>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premier trimestre </w:t>
            </w:r>
          </w:p>
        </w:tc>
        <w:tc>
          <w:tcPr>
            <w:tcW w:w="1569" w:type="dxa"/>
            <w:gridSpan w:val="2"/>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Deuxième trimestre </w:t>
            </w:r>
          </w:p>
        </w:tc>
        <w:tc>
          <w:tcPr>
            <w:tcW w:w="1535" w:type="dxa"/>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troisième trimestre </w:t>
            </w:r>
          </w:p>
        </w:tc>
        <w:tc>
          <w:tcPr>
            <w:tcW w:w="1701" w:type="dxa"/>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quatrième trimestre </w:t>
            </w:r>
          </w:p>
        </w:tc>
      </w:tr>
      <w:tr w:rsidR="00D731F3" w:rsidRPr="00BB771A" w:rsidTr="008952B1">
        <w:trPr>
          <w:trHeight w:val="524"/>
        </w:trPr>
        <w:tc>
          <w:tcPr>
            <w:tcW w:w="2806" w:type="dxa"/>
            <w:tcBorders>
              <w:top w:val="single" w:sz="4" w:space="0" w:color="auto"/>
              <w:left w:val="single" w:sz="4" w:space="0" w:color="auto"/>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N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N+1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N+2 </w:t>
            </w:r>
          </w:p>
          <w:p w:rsidR="00D731F3" w:rsidRPr="00BB771A" w:rsidRDefault="00D731F3" w:rsidP="008952B1">
            <w:pPr>
              <w:pStyle w:val="Default"/>
              <w:jc w:val="both"/>
              <w:rPr>
                <w:rFonts w:ascii="Arial Narrow" w:hAnsi="Arial Narrow"/>
                <w:color w:val="auto"/>
                <w:sz w:val="22"/>
                <w:szCs w:val="22"/>
              </w:rPr>
            </w:pPr>
          </w:p>
        </w:tc>
        <w:tc>
          <w:tcPr>
            <w:tcW w:w="1555" w:type="dxa"/>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152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185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218 </w:t>
            </w:r>
          </w:p>
          <w:p w:rsidR="00D731F3" w:rsidRPr="00BB771A" w:rsidRDefault="00D731F3" w:rsidP="008952B1">
            <w:pPr>
              <w:pStyle w:val="Default"/>
              <w:jc w:val="both"/>
              <w:rPr>
                <w:rFonts w:ascii="Arial Narrow" w:hAnsi="Arial Narrow"/>
                <w:sz w:val="22"/>
                <w:szCs w:val="22"/>
              </w:rPr>
            </w:pPr>
          </w:p>
        </w:tc>
        <w:tc>
          <w:tcPr>
            <w:tcW w:w="1559" w:type="dxa"/>
            <w:gridSpan w:val="2"/>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175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207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238 </w:t>
            </w:r>
          </w:p>
          <w:p w:rsidR="00D731F3" w:rsidRPr="00BB771A" w:rsidRDefault="00D731F3" w:rsidP="008952B1">
            <w:pPr>
              <w:pStyle w:val="Default"/>
              <w:jc w:val="both"/>
              <w:rPr>
                <w:rFonts w:ascii="Arial Narrow" w:hAnsi="Arial Narrow"/>
                <w:sz w:val="22"/>
                <w:szCs w:val="22"/>
              </w:rPr>
            </w:pPr>
          </w:p>
        </w:tc>
        <w:tc>
          <w:tcPr>
            <w:tcW w:w="1559" w:type="dxa"/>
            <w:gridSpan w:val="2"/>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126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151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180 </w:t>
            </w:r>
          </w:p>
          <w:p w:rsidR="00D731F3" w:rsidRPr="00BB771A" w:rsidRDefault="00D731F3" w:rsidP="008952B1">
            <w:pPr>
              <w:pStyle w:val="Default"/>
              <w:jc w:val="both"/>
              <w:rPr>
                <w:rFonts w:ascii="Arial Narrow" w:hAnsi="Arial Narrow"/>
                <w:sz w:val="22"/>
                <w:szCs w:val="22"/>
              </w:rPr>
            </w:pPr>
          </w:p>
        </w:tc>
        <w:tc>
          <w:tcPr>
            <w:tcW w:w="1701" w:type="dxa"/>
            <w:tcBorders>
              <w:top w:val="single" w:sz="8" w:space="0" w:color="000000"/>
              <w:left w:val="single" w:sz="8" w:space="0" w:color="000000"/>
              <w:bottom w:val="single" w:sz="8" w:space="0" w:color="000000"/>
              <w:right w:val="single" w:sz="8" w:space="0" w:color="000000"/>
            </w:tcBorders>
          </w:tcPr>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140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172 </w:t>
            </w:r>
          </w:p>
          <w:p w:rsidR="00D731F3" w:rsidRPr="00BB771A" w:rsidRDefault="00D731F3" w:rsidP="008952B1">
            <w:pPr>
              <w:pStyle w:val="Default"/>
              <w:jc w:val="both"/>
              <w:rPr>
                <w:rFonts w:ascii="Arial Narrow" w:hAnsi="Arial Narrow"/>
                <w:sz w:val="22"/>
                <w:szCs w:val="22"/>
              </w:rPr>
            </w:pPr>
            <w:r w:rsidRPr="00BB771A">
              <w:rPr>
                <w:rFonts w:ascii="Arial Narrow" w:hAnsi="Arial Narrow"/>
                <w:sz w:val="22"/>
                <w:szCs w:val="22"/>
              </w:rPr>
              <w:t xml:space="preserve">205 </w:t>
            </w:r>
          </w:p>
          <w:p w:rsidR="00D731F3" w:rsidRPr="00BB771A" w:rsidRDefault="00D731F3" w:rsidP="008952B1">
            <w:pPr>
              <w:pStyle w:val="Default"/>
              <w:jc w:val="both"/>
              <w:rPr>
                <w:rFonts w:ascii="Arial Narrow" w:hAnsi="Arial Narrow"/>
                <w:sz w:val="22"/>
                <w:szCs w:val="22"/>
              </w:rPr>
            </w:pPr>
          </w:p>
        </w:tc>
      </w:tr>
    </w:tbl>
    <w:p w:rsidR="000E3628" w:rsidRDefault="000E3628"/>
    <w:sectPr w:rsidR="000E3628" w:rsidSect="000E3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05693"/>
    <w:multiLevelType w:val="hybridMultilevel"/>
    <w:tmpl w:val="70E8D1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731F3"/>
    <w:rsid w:val="000E3628"/>
    <w:rsid w:val="00D731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F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31F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D73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1560</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1</cp:revision>
  <dcterms:created xsi:type="dcterms:W3CDTF">2009-10-14T12:21:00Z</dcterms:created>
  <dcterms:modified xsi:type="dcterms:W3CDTF">2009-10-14T12:22:00Z</dcterms:modified>
</cp:coreProperties>
</file>