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11"/>
      </w:tblGrid>
      <w:tr w:rsidR="001A3502" w:rsidRPr="00AE1730" w:rsidTr="00284CD3">
        <w:tc>
          <w:tcPr>
            <w:tcW w:w="9217" w:type="dxa"/>
            <w:gridSpan w:val="2"/>
          </w:tcPr>
          <w:p w:rsidR="001A3502" w:rsidRPr="00AE1730" w:rsidRDefault="001A3502" w:rsidP="00284CD3">
            <w:pPr>
              <w:jc w:val="center"/>
              <w:rPr>
                <w:rFonts w:ascii="Tw Cen MT Condensed" w:hAnsi="Tw Cen MT Condensed"/>
                <w:sz w:val="36"/>
                <w:szCs w:val="36"/>
              </w:rPr>
            </w:pPr>
            <w:r w:rsidRPr="00AE1730">
              <w:rPr>
                <w:rFonts w:ascii="Tw Cen MT Condensed" w:hAnsi="Tw Cen MT Condensed"/>
                <w:sz w:val="36"/>
                <w:szCs w:val="36"/>
              </w:rPr>
              <w:t>De l’égalité des hommes</w:t>
            </w:r>
          </w:p>
          <w:p w:rsidR="001A3502" w:rsidRPr="00AE1730" w:rsidRDefault="001A3502" w:rsidP="00284CD3">
            <w:pPr>
              <w:jc w:val="both"/>
              <w:rPr>
                <w:rFonts w:ascii="Tw Cen MT Condensed" w:hAnsi="Tw Cen MT Condensed"/>
                <w:sz w:val="36"/>
                <w:szCs w:val="36"/>
              </w:rPr>
            </w:pPr>
          </w:p>
        </w:tc>
      </w:tr>
      <w:tr w:rsidR="001A3502" w:rsidRPr="00AE1730" w:rsidTr="00284CD3">
        <w:trPr>
          <w:trHeight w:val="11407"/>
        </w:trPr>
        <w:tc>
          <w:tcPr>
            <w:tcW w:w="9217" w:type="dxa"/>
            <w:gridSpan w:val="2"/>
          </w:tcPr>
          <w:p w:rsidR="001A3502" w:rsidRPr="00AE1730" w:rsidRDefault="001A3502" w:rsidP="00284CD3">
            <w:pPr>
              <w:ind w:firstLine="1701"/>
              <w:jc w:val="both"/>
              <w:rPr>
                <w:rFonts w:ascii="Tw Cen MT Condensed" w:hAnsi="Tw Cen MT Condensed"/>
                <w:sz w:val="36"/>
                <w:szCs w:val="36"/>
              </w:rPr>
            </w:pPr>
            <w:r w:rsidRPr="00AE1730">
              <w:rPr>
                <w:rFonts w:ascii="Tw Cen MT Condensed" w:hAnsi="Tw Cen MT Condensed"/>
                <w:sz w:val="36"/>
                <w:szCs w:val="36"/>
              </w:rPr>
              <w:t xml:space="preserve">La nature ne fait jamais des copies, mais des êtres semblables. Les hommes ne sont pas des produits d’une machine, ils ne sont donc pas des copies pour se ressembler comme deux gouttes d’eau. Entre des êtres vivants, il n’aura jamais des signes d’égalité comme dans une équation mathématiques. Ne le cherchez donc pas. </w:t>
            </w:r>
          </w:p>
          <w:p w:rsidR="001A3502" w:rsidRPr="00AE1730" w:rsidRDefault="001A3502" w:rsidP="00284CD3">
            <w:pPr>
              <w:ind w:firstLine="1735"/>
              <w:jc w:val="both"/>
              <w:rPr>
                <w:rFonts w:ascii="Tw Cen MT Condensed" w:hAnsi="Tw Cen MT Condensed"/>
                <w:sz w:val="36"/>
                <w:szCs w:val="36"/>
              </w:rPr>
            </w:pPr>
            <w:r w:rsidRPr="00AE1730">
              <w:rPr>
                <w:rFonts w:ascii="Tw Cen MT Condensed" w:hAnsi="Tw Cen MT Condensed"/>
                <w:sz w:val="36"/>
                <w:szCs w:val="36"/>
              </w:rPr>
              <w:t>La femme ne sera jamais l’égale de l’homme et vice versa. Ce sont des êtres complémentaires, semblables dit la Bible. Et une expression dit : « ce qui semble se rassemblent ». Les hommes sont donc appelés à se rassembler</w:t>
            </w:r>
            <w:r w:rsidR="00FD32FE">
              <w:rPr>
                <w:rFonts w:ascii="Tw Cen MT Condensed" w:hAnsi="Tw Cen MT Condensed"/>
                <w:sz w:val="36"/>
                <w:szCs w:val="36"/>
              </w:rPr>
              <w:t>, à s’accepter et à vivre ensemble</w:t>
            </w:r>
            <w:r w:rsidRPr="00AE1730">
              <w:rPr>
                <w:rFonts w:ascii="Tw Cen MT Condensed" w:hAnsi="Tw Cen MT Condensed"/>
                <w:sz w:val="36"/>
                <w:szCs w:val="36"/>
              </w:rPr>
              <w:t>.</w:t>
            </w:r>
          </w:p>
          <w:p w:rsidR="001A3502" w:rsidRPr="00AE1730" w:rsidRDefault="001A3502" w:rsidP="00284CD3">
            <w:pPr>
              <w:ind w:firstLine="1735"/>
              <w:jc w:val="both"/>
              <w:rPr>
                <w:rFonts w:ascii="Tw Cen MT Condensed" w:hAnsi="Tw Cen MT Condensed"/>
                <w:sz w:val="36"/>
                <w:szCs w:val="36"/>
              </w:rPr>
            </w:pPr>
            <w:r w:rsidRPr="00AE1730">
              <w:rPr>
                <w:rFonts w:ascii="Tw Cen MT Condensed" w:hAnsi="Tw Cen MT Condensed"/>
                <w:sz w:val="36"/>
                <w:szCs w:val="36"/>
              </w:rPr>
              <w:t>Le Noir que j’appellerai bien volontiers le brun car la mélanine qui caractérise cette race n’est pas de couleur noire, elle est plutôt brune. Et, la couleur brune donne plus de plage que la couleur noire, ce qui permet de rassembler les différentes variétés de couleurs que l’on trouve dans cette race, de la couleur pâle du métis ou mulâtre à une couleur beaucoup plus foncée, bronzée, pourrait-on dire. Le Noir, le Blanc, le Jaune ne pourront jamais être rapproché dans une logique d’une équation égalitaire. Il faut plutôt chercher à la place une « relation de complémentarité ». Une complémentarité comme on peut la trouver dans une équipe de football, de basketball, de course relais, … une complémentarité que l’on trouve déjà entre les bras gauche et droit, les jambes gauche et droite, l’œil gauche et l’œil droit, les narines gauche  et droite…, une complémentarité regroupant parfois plusieurs organes : l’œil, le nez, le cerveau, les jambes et la main pour assurer un besoin commun tel</w:t>
            </w:r>
            <w:r w:rsidR="007039EE">
              <w:rPr>
                <w:rFonts w:ascii="Tw Cen MT Condensed" w:hAnsi="Tw Cen MT Condensed"/>
                <w:sz w:val="36"/>
                <w:szCs w:val="36"/>
              </w:rPr>
              <w:t>le</w:t>
            </w:r>
            <w:r w:rsidRPr="00AE1730">
              <w:rPr>
                <w:rFonts w:ascii="Tw Cen MT Condensed" w:hAnsi="Tw Cen MT Condensed"/>
                <w:sz w:val="36"/>
                <w:szCs w:val="36"/>
              </w:rPr>
              <w:t xml:space="preserve"> la nutrition. Bien plus, une complémentarité basée sur l’acceptation de l’autre comme soi-même</w:t>
            </w:r>
            <w:r w:rsidRPr="00AE1730">
              <w:rPr>
                <w:rStyle w:val="Appelnotedebasdep"/>
                <w:rFonts w:ascii="Tw Cen MT Condensed" w:hAnsi="Tw Cen MT Condensed"/>
                <w:sz w:val="36"/>
                <w:szCs w:val="36"/>
              </w:rPr>
              <w:footnoteReference w:id="2"/>
            </w:r>
            <w:r w:rsidRPr="00AE1730">
              <w:rPr>
                <w:rFonts w:ascii="Tw Cen MT Condensed" w:hAnsi="Tw Cen MT Condensed"/>
                <w:sz w:val="36"/>
                <w:szCs w:val="36"/>
              </w:rPr>
              <w:t>.</w:t>
            </w:r>
          </w:p>
          <w:p w:rsidR="001A3502" w:rsidRPr="00AE1730" w:rsidRDefault="001A3502" w:rsidP="00284CD3">
            <w:pPr>
              <w:ind w:firstLine="1735"/>
              <w:jc w:val="both"/>
              <w:rPr>
                <w:rFonts w:ascii="Tw Cen MT Condensed" w:hAnsi="Tw Cen MT Condensed"/>
                <w:sz w:val="36"/>
                <w:szCs w:val="36"/>
              </w:rPr>
            </w:pPr>
            <w:r w:rsidRPr="00AE1730">
              <w:rPr>
                <w:rFonts w:ascii="Tw Cen MT Condensed" w:hAnsi="Tw Cen MT Condensed"/>
                <w:sz w:val="36"/>
                <w:szCs w:val="36"/>
              </w:rPr>
              <w:t>Le monde est une diversité que l’on ne doit pas prendre pour une divergence, une complémentarité que l’on ne doit pas prendre pour une concurrence</w:t>
            </w:r>
            <w:r w:rsidRPr="00AE1730">
              <w:rPr>
                <w:rStyle w:val="Appelnotedebasdep"/>
                <w:rFonts w:ascii="Tw Cen MT Condensed" w:hAnsi="Tw Cen MT Condensed"/>
                <w:sz w:val="36"/>
                <w:szCs w:val="36"/>
              </w:rPr>
              <w:footnoteReference w:id="3"/>
            </w:r>
            <w:r w:rsidRPr="00AE1730">
              <w:rPr>
                <w:rFonts w:ascii="Tw Cen MT Condensed" w:hAnsi="Tw Cen MT Condensed"/>
                <w:sz w:val="36"/>
                <w:szCs w:val="36"/>
              </w:rPr>
              <w:t xml:space="preserve">. </w:t>
            </w:r>
            <w:r w:rsidR="00DA50AE">
              <w:rPr>
                <w:rFonts w:ascii="Tw Cen MT Condensed" w:hAnsi="Tw Cen MT Condensed"/>
                <w:sz w:val="36"/>
                <w:szCs w:val="36"/>
              </w:rPr>
              <w:t>Bien plus, c</w:t>
            </w:r>
            <w:r w:rsidRPr="00AE1730">
              <w:rPr>
                <w:rFonts w:ascii="Tw Cen MT Condensed" w:hAnsi="Tw Cen MT Condensed"/>
                <w:sz w:val="36"/>
                <w:szCs w:val="36"/>
              </w:rPr>
              <w:t xml:space="preserve">’est cette diversité que l’on trouve </w:t>
            </w:r>
            <w:r w:rsidR="00DA50AE">
              <w:rPr>
                <w:rFonts w:ascii="Tw Cen MT Condensed" w:hAnsi="Tw Cen MT Condensed"/>
                <w:sz w:val="36"/>
                <w:szCs w:val="36"/>
              </w:rPr>
              <w:t xml:space="preserve">aussi bien </w:t>
            </w:r>
            <w:r w:rsidRPr="00AE1730">
              <w:rPr>
                <w:rFonts w:ascii="Tw Cen MT Condensed" w:hAnsi="Tw Cen MT Condensed"/>
                <w:sz w:val="36"/>
                <w:szCs w:val="36"/>
              </w:rPr>
              <w:t>dans la nature animale que végétale et qui, faisant symbiose avec la complémentarité des êtres, constitue la richess</w:t>
            </w:r>
            <w:r w:rsidR="007039EE">
              <w:rPr>
                <w:rFonts w:ascii="Tw Cen MT Condensed" w:hAnsi="Tw Cen MT Condensed"/>
                <w:sz w:val="36"/>
                <w:szCs w:val="36"/>
              </w:rPr>
              <w:t>e du monde. Il suffit</w:t>
            </w:r>
            <w:r w:rsidRPr="00AE1730">
              <w:rPr>
                <w:rFonts w:ascii="Tw Cen MT Condensed" w:hAnsi="Tw Cen MT Condensed"/>
                <w:sz w:val="36"/>
                <w:szCs w:val="36"/>
              </w:rPr>
              <w:t xml:space="preserve"> de regarder la beauté qu’il y a dans la diversité des papillons, des oiseaux, des fleurs, des poissons…</w:t>
            </w:r>
            <w:r w:rsidR="00F76C54">
              <w:rPr>
                <w:rFonts w:ascii="Tw Cen MT Condensed" w:hAnsi="Tw Cen MT Condensed"/>
                <w:sz w:val="36"/>
                <w:szCs w:val="36"/>
              </w:rPr>
              <w:t xml:space="preserve"> </w:t>
            </w:r>
            <w:r w:rsidR="00F76C54" w:rsidRPr="00AE1730">
              <w:rPr>
                <w:rFonts w:ascii="Tw Cen MT Condensed" w:hAnsi="Tw Cen MT Condensed"/>
                <w:sz w:val="36"/>
                <w:szCs w:val="36"/>
              </w:rPr>
              <w:t>pour s’en convaincre</w:t>
            </w:r>
            <w:r w:rsidR="00F76C54">
              <w:rPr>
                <w:rFonts w:ascii="Tw Cen MT Condensed" w:hAnsi="Tw Cen MT Condensed"/>
                <w:sz w:val="36"/>
                <w:szCs w:val="36"/>
              </w:rPr>
              <w:t>.</w:t>
            </w:r>
          </w:p>
          <w:p w:rsidR="001A3502" w:rsidRPr="00AE1730" w:rsidRDefault="001A3502" w:rsidP="00284CD3">
            <w:pPr>
              <w:jc w:val="both"/>
              <w:rPr>
                <w:rFonts w:ascii="Tw Cen MT Condensed" w:hAnsi="Tw Cen MT Condensed"/>
                <w:sz w:val="36"/>
                <w:szCs w:val="36"/>
              </w:rPr>
            </w:pPr>
          </w:p>
        </w:tc>
      </w:tr>
      <w:tr w:rsidR="00AE1730" w:rsidRPr="00AE1730" w:rsidTr="00284CD3">
        <w:tc>
          <w:tcPr>
            <w:tcW w:w="4606" w:type="dxa"/>
          </w:tcPr>
          <w:p w:rsidR="00AE1730" w:rsidRPr="00AE1730" w:rsidRDefault="00AE1730" w:rsidP="00284CD3">
            <w:pPr>
              <w:jc w:val="both"/>
              <w:rPr>
                <w:rFonts w:ascii="Tw Cen MT Condensed" w:hAnsi="Tw Cen MT Condensed"/>
                <w:sz w:val="36"/>
                <w:szCs w:val="36"/>
              </w:rPr>
            </w:pPr>
          </w:p>
        </w:tc>
        <w:tc>
          <w:tcPr>
            <w:tcW w:w="4611" w:type="dxa"/>
          </w:tcPr>
          <w:p w:rsidR="00AE1730" w:rsidRPr="00AE1730" w:rsidRDefault="00AE1730" w:rsidP="00284CD3">
            <w:pPr>
              <w:jc w:val="both"/>
              <w:rPr>
                <w:rFonts w:ascii="Tw Cen MT Condensed" w:hAnsi="Tw Cen MT Condensed"/>
                <w:sz w:val="36"/>
                <w:szCs w:val="36"/>
              </w:rPr>
            </w:pPr>
            <w:r w:rsidRPr="00AE1730">
              <w:rPr>
                <w:rFonts w:ascii="Tw Cen MT Condensed" w:hAnsi="Tw Cen MT Condensed"/>
                <w:sz w:val="36"/>
                <w:szCs w:val="36"/>
              </w:rPr>
              <w:t>Bula-Bula Médard</w:t>
            </w:r>
          </w:p>
          <w:p w:rsidR="00AE1730" w:rsidRPr="00AE1730" w:rsidRDefault="00AE1730" w:rsidP="00284CD3">
            <w:pPr>
              <w:jc w:val="both"/>
              <w:rPr>
                <w:rFonts w:ascii="Tw Cen MT Condensed" w:hAnsi="Tw Cen MT Condensed"/>
                <w:sz w:val="24"/>
                <w:szCs w:val="24"/>
              </w:rPr>
            </w:pPr>
            <w:r w:rsidRPr="00AE1730">
              <w:rPr>
                <w:rFonts w:ascii="Tw Cen MT Condensed" w:hAnsi="Tw Cen MT Condensed"/>
                <w:sz w:val="36"/>
                <w:szCs w:val="36"/>
              </w:rPr>
              <w:lastRenderedPageBreak/>
              <w:t xml:space="preserve">  </w:t>
            </w:r>
            <w:r w:rsidRPr="00AE1730">
              <w:rPr>
                <w:rFonts w:ascii="Tw Cen MT Condensed" w:hAnsi="Tw Cen MT Condensed"/>
                <w:sz w:val="24"/>
                <w:szCs w:val="24"/>
              </w:rPr>
              <w:t>drmebula@gmail.com</w:t>
            </w:r>
          </w:p>
          <w:p w:rsidR="00AE1730" w:rsidRPr="00AE1730" w:rsidRDefault="00AE1730" w:rsidP="00284CD3">
            <w:pPr>
              <w:jc w:val="both"/>
              <w:rPr>
                <w:rFonts w:ascii="Tw Cen MT Condensed" w:hAnsi="Tw Cen MT Condensed"/>
                <w:sz w:val="24"/>
                <w:szCs w:val="24"/>
              </w:rPr>
            </w:pPr>
            <w:r w:rsidRPr="00AE1730">
              <w:rPr>
                <w:rFonts w:ascii="Tw Cen MT Condensed" w:hAnsi="Tw Cen MT Condensed"/>
                <w:sz w:val="24"/>
                <w:szCs w:val="24"/>
              </w:rPr>
              <w:t xml:space="preserve">      écrivain congolais</w:t>
            </w:r>
          </w:p>
          <w:p w:rsidR="00AE1730" w:rsidRPr="00AE1730" w:rsidRDefault="00AE1730" w:rsidP="00284CD3">
            <w:pPr>
              <w:jc w:val="both"/>
              <w:rPr>
                <w:rFonts w:ascii="Tw Cen MT Condensed" w:hAnsi="Tw Cen MT Condensed"/>
                <w:sz w:val="36"/>
                <w:szCs w:val="36"/>
              </w:rPr>
            </w:pPr>
          </w:p>
        </w:tc>
      </w:tr>
    </w:tbl>
    <w:p w:rsidR="00E517C7" w:rsidRPr="00AE1730" w:rsidRDefault="00E517C7" w:rsidP="00284CD3">
      <w:pPr>
        <w:jc w:val="both"/>
        <w:rPr>
          <w:rFonts w:ascii="Tw Cen MT Condensed" w:hAnsi="Tw Cen MT Condensed"/>
          <w:sz w:val="36"/>
          <w:szCs w:val="36"/>
        </w:rPr>
      </w:pPr>
    </w:p>
    <w:p w:rsidR="001A3502" w:rsidRPr="00AE1730" w:rsidRDefault="001A3502" w:rsidP="00284CD3">
      <w:pPr>
        <w:ind w:firstLine="1735"/>
        <w:jc w:val="both"/>
        <w:rPr>
          <w:rFonts w:ascii="Tw Cen MT Condensed" w:hAnsi="Tw Cen MT Condensed"/>
          <w:sz w:val="36"/>
          <w:szCs w:val="36"/>
        </w:rPr>
      </w:pPr>
    </w:p>
    <w:p w:rsidR="001A3502" w:rsidRPr="00AE1730" w:rsidRDefault="001A3502" w:rsidP="00284CD3">
      <w:pPr>
        <w:jc w:val="both"/>
        <w:rPr>
          <w:rFonts w:ascii="Tw Cen MT Condensed" w:hAnsi="Tw Cen MT Condensed"/>
          <w:sz w:val="36"/>
          <w:szCs w:val="36"/>
        </w:rPr>
      </w:pPr>
    </w:p>
    <w:p w:rsidR="00AE1730" w:rsidRPr="00AE1730" w:rsidRDefault="00AE1730" w:rsidP="00284CD3">
      <w:pPr>
        <w:jc w:val="both"/>
        <w:rPr>
          <w:rFonts w:ascii="Tw Cen MT Condensed" w:hAnsi="Tw Cen MT Condensed"/>
          <w:sz w:val="36"/>
          <w:szCs w:val="36"/>
        </w:rPr>
      </w:pPr>
    </w:p>
    <w:sectPr w:rsidR="00AE1730" w:rsidRPr="00AE1730" w:rsidSect="00E517C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C91" w:rsidRDefault="00435C91" w:rsidP="001A3502">
      <w:pPr>
        <w:spacing w:after="0" w:line="240" w:lineRule="auto"/>
      </w:pPr>
      <w:r>
        <w:separator/>
      </w:r>
    </w:p>
  </w:endnote>
  <w:endnote w:type="continuationSeparator" w:id="1">
    <w:p w:rsidR="00435C91" w:rsidRDefault="00435C91" w:rsidP="001A35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C91" w:rsidRDefault="00435C91" w:rsidP="001A3502">
      <w:pPr>
        <w:spacing w:after="0" w:line="240" w:lineRule="auto"/>
      </w:pPr>
      <w:r>
        <w:separator/>
      </w:r>
    </w:p>
  </w:footnote>
  <w:footnote w:type="continuationSeparator" w:id="1">
    <w:p w:rsidR="00435C91" w:rsidRDefault="00435C91" w:rsidP="001A3502">
      <w:pPr>
        <w:spacing w:after="0" w:line="240" w:lineRule="auto"/>
      </w:pPr>
      <w:r>
        <w:continuationSeparator/>
      </w:r>
    </w:p>
  </w:footnote>
  <w:footnote w:id="2">
    <w:p w:rsidR="001A3502" w:rsidRDefault="001A3502" w:rsidP="001A3502">
      <w:pPr>
        <w:pStyle w:val="Notedebasdepage"/>
      </w:pPr>
      <w:r>
        <w:rPr>
          <w:rStyle w:val="Appelnotedebasdep"/>
        </w:rPr>
        <w:footnoteRef/>
      </w:r>
      <w:r>
        <w:t xml:space="preserve"> Bible</w:t>
      </w:r>
    </w:p>
  </w:footnote>
  <w:footnote w:id="3">
    <w:p w:rsidR="001A3502" w:rsidRDefault="001A3502" w:rsidP="001A3502">
      <w:pPr>
        <w:pStyle w:val="Notedebasdepage"/>
      </w:pPr>
      <w:r>
        <w:rPr>
          <w:rStyle w:val="Appelnotedebasdep"/>
        </w:rPr>
        <w:footnoteRef/>
      </w:r>
      <w:r>
        <w:t xml:space="preserve"> Bula-Bula M., Race noire ou la guerre des mots, cahiers congolais de sociologie ; 2012, 183-92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defaultTabStop w:val="708"/>
  <w:hyphenationZone w:val="425"/>
  <w:characterSpacingControl w:val="doNotCompress"/>
  <w:footnotePr>
    <w:footnote w:id="0"/>
    <w:footnote w:id="1"/>
  </w:footnotePr>
  <w:endnotePr>
    <w:endnote w:id="0"/>
    <w:endnote w:id="1"/>
  </w:endnotePr>
  <w:compat/>
  <w:rsids>
    <w:rsidRoot w:val="001A3502"/>
    <w:rsid w:val="00143D2E"/>
    <w:rsid w:val="001A3502"/>
    <w:rsid w:val="002108A0"/>
    <w:rsid w:val="00284CD3"/>
    <w:rsid w:val="00435C91"/>
    <w:rsid w:val="004D5D9A"/>
    <w:rsid w:val="007039EE"/>
    <w:rsid w:val="00AE1730"/>
    <w:rsid w:val="00BC56F0"/>
    <w:rsid w:val="00DA50AE"/>
    <w:rsid w:val="00E517C7"/>
    <w:rsid w:val="00F76C54"/>
    <w:rsid w:val="00FD32F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5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A350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A3502"/>
    <w:rPr>
      <w:sz w:val="20"/>
      <w:szCs w:val="20"/>
    </w:rPr>
  </w:style>
  <w:style w:type="character" w:styleId="Appelnotedebasdep">
    <w:name w:val="footnote reference"/>
    <w:basedOn w:val="Policepardfaut"/>
    <w:uiPriority w:val="99"/>
    <w:semiHidden/>
    <w:unhideWhenUsed/>
    <w:rsid w:val="001A3502"/>
    <w:rPr>
      <w:vertAlign w:val="superscript"/>
    </w:rPr>
  </w:style>
  <w:style w:type="table" w:styleId="Grilledutableau">
    <w:name w:val="Table Grid"/>
    <w:basedOn w:val="TableauNormal"/>
    <w:uiPriority w:val="59"/>
    <w:rsid w:val="001A35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1899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 ordinateur</dc:creator>
  <cp:lastModifiedBy>Mon ordinateur</cp:lastModifiedBy>
  <cp:revision>2</cp:revision>
  <dcterms:created xsi:type="dcterms:W3CDTF">2014-10-01T20:34:00Z</dcterms:created>
  <dcterms:modified xsi:type="dcterms:W3CDTF">2014-10-01T20:34:00Z</dcterms:modified>
</cp:coreProperties>
</file>